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d32b8bf74c110e5b25f5c19f4e8d98d827c1d"/>
    <w:p>
      <w:pPr>
        <w:pStyle w:val="Heading3"/>
      </w:pPr>
      <w:r>
        <w:t xml:space="preserve">Приказ № 9 от 14.02.2019 г. Об утверждении Типового положения о системе внутреннего обеспечения соответствия требованиям антимонопольного законодательства в органе исполнительной власти города Москвы</w:t>
      </w:r>
    </w:p>
    <w:p>
      <w:pPr>
        <w:pStyle w:val="FirstParagraph"/>
      </w:pPr>
      <w:r>
        <w:t xml:space="preserve">27.02.2019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http://veshnyaki.mos.ru/anti-corruption1/methodical-materials/detail/7916596.html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methodical-materials/detail/7916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methodical-materials/detail/7916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2025-08-02T04:05:50Z</dcterms:created>
  <dcterms:modified xsi:type="dcterms:W3CDTF">2025-08-02T04:05:50Z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