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af0326f8bbe0b37cf84e5152485bcd400aae72"/>
    <w:p>
      <w:pPr>
        <w:pStyle w:val="Heading3"/>
      </w:pPr>
      <w:r>
        <w:t xml:space="preserve">Обзор практики правоприменения в сфере конфликта интересов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t xml:space="preserve">Обзоры подготавливаются в соответствии с протоколом заседания президиума Совета при Президенте Российской Федерации по противодействию коррупции от 27 июня 2017 г. № 59 и во исполнение пункта 11 Национального плана противодействия коррупции на 2018-2020 год, утвержденного Указом Президента Российской Федерации от 29 июня 2018 г. № 378.</w:t>
      </w:r>
    </w:p>
    <w:p>
      <w:pPr>
        <w:pStyle w:val="BodyText"/>
      </w:pPr>
      <w:hyperlink r:id="rId20"/>
    </w:p>
    <w:p>
      <w:pPr>
        <w:pStyle w:val="BodyText"/>
      </w:pPr>
      <w:r>
        <w:t xml:space="preserve">Обзор практики правоприменения в сфере конфликта интересов № 1</w:t>
      </w:r>
    </w:p>
    <w:p>
      <w:pPr>
        <w:pStyle w:val="BodyText"/>
      </w:pPr>
      <w:r>
        <w:t xml:space="preserve">В обзоре представлены примеры ситуаций, связанных с основными причинами возникновения конфликта интересов, а также проиллюстрированы наиболее распространенные меры по его предотвращению и урегулированию. Отдельно приведен пример ошибочной квалификации ситуации в качестве конфликта интересов.</w:t>
      </w:r>
    </w:p>
    <w:p>
      <w:pPr>
        <w:pStyle w:val="BodyText"/>
      </w:pPr>
      <w:hyperlink r:id="rId21">
        <w:r>
          <w:rPr>
            <w:rStyle w:val="Hyperlink"/>
          </w:rPr>
          <w:t xml:space="preserve">Обзор практики правоприменения в сфере конфликта интересов № 1</w:t>
        </w:r>
      </w:hyperlink>
    </w:p>
    <w:p>
      <w:pPr>
        <w:pStyle w:val="BodyText"/>
      </w:pPr>
      <w:r>
        <w:t xml:space="preserve">Обзор практики правоприменения в сфере конфликта интересов № 2</w:t>
      </w:r>
    </w:p>
    <w:p>
      <w:pPr>
        <w:pStyle w:val="BodyText"/>
      </w:pPr>
      <w:r>
        <w:t xml:space="preserve">В обзоре представлены типовые примеры привлечения к ответственности за непринятие мер по предотвращению и урегулированию конфликта интересов.</w:t>
      </w:r>
    </w:p>
    <w:p>
      <w:pPr>
        <w:pStyle w:val="BodyText"/>
      </w:pPr>
      <w:hyperlink r:id="rId22">
        <w:r>
          <w:rPr>
            <w:rStyle w:val="Hyperlink"/>
          </w:rPr>
          <w:t xml:space="preserve">Обзор практики правоприменения в сфере конфликта интересов № 2</w:t>
        </w:r>
      </w:hyperlink>
    </w:p>
    <w:p>
      <w:pPr>
        <w:pStyle w:val="BodyText"/>
      </w:pPr>
      <w:r>
        <w:t xml:space="preserve">Обзор практики правоприменения в сфере конфликта интересов № 3</w:t>
      </w:r>
    </w:p>
    <w:p>
      <w:pPr>
        <w:pStyle w:val="BodyText"/>
      </w:pPr>
      <w:r>
        <w:t xml:space="preserve">Обзор структурирован в соответствии с перечнем функций, связанных с высоким коррупционным риском, и направлен на обеспечение единства подходов при квалификации ситуаций в качестве конфликта интересов, а также при формулировании рассматриваемых на заседаниях комиссий вопросов о соблюдении требований об урегулировании конфликта интересов.</w:t>
      </w:r>
    </w:p>
    <w:p>
      <w:pPr>
        <w:pStyle w:val="BodyText"/>
      </w:pPr>
      <w:hyperlink r:id="rId23">
        <w:r>
          <w:rPr>
            <w:rStyle w:val="Hyperlink"/>
          </w:rPr>
          <w:t xml:space="preserve">Обзор практики правоприменения в сфере конфликта интересов № 3</w:t>
        </w:r>
      </w:hyperlink>
    </w:p>
    <w:p>
      <w:pPr>
        <w:pStyle w:val="BodyText"/>
      </w:pPr>
      <w:r>
        <w:t xml:space="preserve">Обзор практики правоприменения в сфере конфликта интересов № 4</w:t>
      </w:r>
    </w:p>
    <w:p>
      <w:pPr>
        <w:pStyle w:val="BodyText"/>
      </w:pPr>
      <w:r>
        <w:t xml:space="preserve">В обзоре представлены примеры принятия иных мер по предотвращению и урегулированию конфликта интересов в ситуациях, когда принятие мер, прямо поименованных в ст. 11 Федерального закона «О противодействии коррупции», затруднено.</w:t>
      </w:r>
    </w:p>
    <w:p>
      <w:pPr>
        <w:pStyle w:val="BodyText"/>
      </w:pPr>
      <w:hyperlink r:id="rId24">
        <w:r>
          <w:rPr>
            <w:rStyle w:val="Hyperlink"/>
          </w:rPr>
          <w:t xml:space="preserve">Обзор практики правоприменения в сфере конфликта интересов № 4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https://mintrud.gov.ru/ministry/programms/anticorruption/9/13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http://veshnyaki.mos.ru/anti-corruption1/methodical-materials/detail/9016105.html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Вешняки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1_Ministry-0-1043-src-1536848382.1213%20(1).docx" TargetMode="External" /><Relationship Type="http://schemas.openxmlformats.org/officeDocument/2006/relationships/hyperlink" Id="rId22" Target="/2_Ministry-0-1043-src-1556115158.9105.docx" TargetMode="External" /><Relationship Type="http://schemas.openxmlformats.org/officeDocument/2006/relationships/hyperlink" Id="rId23" Target="/3_Ministry-0-1043-src-1577213209.3985.docx" TargetMode="External" /><Relationship Type="http://schemas.openxmlformats.org/officeDocument/2006/relationships/hyperlink" Id="rId24" Target="/&#1054;&#1073;&#1079;&#1086;&#1088;%20&#8470;4.docx" TargetMode="External" /><Relationship Type="http://schemas.openxmlformats.org/officeDocument/2006/relationships/hyperlink" Id="rId27" Target="http://veshnyaki.mos.ru" TargetMode="External" /><Relationship Type="http://schemas.openxmlformats.org/officeDocument/2006/relationships/hyperlink" Id="rId26" Target="http://veshnyaki.mos.ru/anti-corruption1/methodical-materials/detail/9016105.html" TargetMode="External" /><Relationship Type="http://schemas.openxmlformats.org/officeDocument/2006/relationships/hyperlink" Id="rId25" Target="https://mintrud.gov.ru/ministry/programms/anticorruption/9/13" TargetMode="External" /><Relationship Type="http://schemas.openxmlformats.org/officeDocument/2006/relationships/hyperlink" Id="rId20" Target="https://mintrud.gov.ru/uploads/editor/7d/bd/%D0%9E%D0%B1%D0%B7%D0%BE%D1%80%20%E2%84%964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1_Ministry-0-1043-src-1536848382.1213%20(1).docx" TargetMode="External" /><Relationship Type="http://schemas.openxmlformats.org/officeDocument/2006/relationships/hyperlink" Id="rId22" Target="/2_Ministry-0-1043-src-1556115158.9105.docx" TargetMode="External" /><Relationship Type="http://schemas.openxmlformats.org/officeDocument/2006/relationships/hyperlink" Id="rId23" Target="/3_Ministry-0-1043-src-1577213209.3985.docx" TargetMode="External" /><Relationship Type="http://schemas.openxmlformats.org/officeDocument/2006/relationships/hyperlink" Id="rId24" Target="/&#1054;&#1073;&#1079;&#1086;&#1088;%20&#8470;4.docx" TargetMode="External" /><Relationship Type="http://schemas.openxmlformats.org/officeDocument/2006/relationships/hyperlink" Id="rId27" Target="http://veshnyaki.mos.ru" TargetMode="External" /><Relationship Type="http://schemas.openxmlformats.org/officeDocument/2006/relationships/hyperlink" Id="rId26" Target="http://veshnyaki.mos.ru/anti-corruption1/methodical-materials/detail/9016105.html" TargetMode="External" /><Relationship Type="http://schemas.openxmlformats.org/officeDocument/2006/relationships/hyperlink" Id="rId25" Target="https://mintrud.gov.ru/ministry/programms/anticorruption/9/13" TargetMode="External" /><Relationship Type="http://schemas.openxmlformats.org/officeDocument/2006/relationships/hyperlink" Id="rId20" Target="https://mintrud.gov.ru/uploads/editor/7d/bd/%D0%9E%D0%B1%D0%B7%D0%BE%D1%80%20%E2%84%964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2023-10-11T12:08:34Z</dcterms:created>
  <dcterms:modified xsi:type="dcterms:W3CDTF">2023-10-11T12:08:34Z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