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безопасность-в-грозу"/>
    <w:p>
      <w:pPr>
        <w:pStyle w:val="Heading3"/>
      </w:pPr>
      <w:r>
        <w:t xml:space="preserve">Безопасность в грозу</w:t>
      </w:r>
    </w:p>
    <w:p>
      <w:pPr>
        <w:pStyle w:val="FirstParagraph"/>
      </w:pPr>
      <w:r>
        <w:t xml:space="preserve">23.04.2024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http://veshnyaki.mos.ru/law-enforcement-and-security/information-emergency/memo-mes/detail/12335802.html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Вешняки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eshnyaki.mos.ru" TargetMode="External" /><Relationship Type="http://schemas.openxmlformats.org/officeDocument/2006/relationships/hyperlink" Id="rId20" Target="http://veshnyaki.mos.ru/law-enforcement-and-security/information-emergency/memo-mes/detail/1233580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eshnyaki.mos.ru" TargetMode="External" /><Relationship Type="http://schemas.openxmlformats.org/officeDocument/2006/relationships/hyperlink" Id="rId20" Target="http://veshnyaki.mos.ru/law-enforcement-and-security/information-emergency/memo-mes/detail/1233580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2024-04-24T02:32:09Z</dcterms:created>
  <dcterms:modified xsi:type="dcterms:W3CDTF">2024-04-24T02:32:09Z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