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b375218a19c05c6c0af0515782a8c40f09be5"/>
    <w:p>
      <w:pPr>
        <w:pStyle w:val="Heading3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BAO г. Москвы информирует</w:t>
      </w:r>
    </w:p>
    <w:p>
      <w:pPr>
        <w:pStyle w:val="FirstParagraph"/>
      </w:pPr>
      <w:r>
        <w:t xml:space="preserve">24.01.2022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 в BAO г. Москвы (далее Территориальный отдел),</w:t>
      </w:r>
      <w:r>
        <w:t xml:space="preserve"> </w:t>
      </w:r>
      <w:r>
        <w:rPr>
          <w:bCs/>
          <w:b/>
        </w:rPr>
        <w:t xml:space="preserve">в рамках проведения профилактических мероприятий в</w:t>
      </w:r>
      <w:r>
        <w:t xml:space="preserve"> </w:t>
      </w:r>
      <w:r>
        <w:t xml:space="preserve">порядке, предусмотренном ст.46 Федерального закона от 31.07.2020r. №248-ФЗ «О государственном контроле (надзоре) и муниципальном контроле в Российской Федерации» информирует о необходимости соблюдения юридическими лицами и индивидуальными предпринимателями, осуществляющими деятельность в сфере торговли пищевой продукцией, обязательных требований законодательства в сфере технического регулирования, установленных в частности техническим регламентом Таможенного Союза TP TC 021/2011 «О безопасности пищевой продукции» (далее по тексту — TP TC 021/2011) и техническим регламентом Таможенного Союза TP TC 022/2011 «Пищевая продукция в части ее маркировки» (далее по тексту — TP TC 022/2011).</w:t>
      </w:r>
    </w:p>
    <w:p>
      <w:pPr>
        <w:pStyle w:val="BodyText"/>
      </w:pPr>
      <w:r>
        <w:t xml:space="preserve">Маркировка пищевой продукции, расфасованной не в месте ее изготовления (сыры,</w:t>
      </w:r>
      <w:r>
        <w:t xml:space="preserve"> </w:t>
      </w:r>
      <w:r>
        <w:rPr>
          <w:bCs/>
          <w:b/>
        </w:rPr>
        <w:t xml:space="preserve">мясные колбасные изделия</w:t>
      </w:r>
      <w:r>
        <w:t xml:space="preserve"> </w:t>
      </w:r>
      <w:r>
        <w:t xml:space="preserve">н др.), в том числе на предприятии торговли в соответствии с требованиями ч.1 ст.4.1ТР TC 022/2011 в обязательном порядке должна содержать информацию о ее изготовителе, в том числе о его местонахождении, дате изготовления, сроке годности и</w:t>
      </w:r>
      <w:r>
        <w:t xml:space="preserve"> </w:t>
      </w:r>
      <w:r>
        <w:rPr>
          <w:iCs/>
          <w:i/>
        </w:rPr>
        <w:t xml:space="preserve">условиях</w:t>
      </w:r>
      <w:r>
        <w:t xml:space="preserve"> </w:t>
      </w:r>
      <w:r>
        <w:t xml:space="preserve">хранения.</w:t>
      </w:r>
    </w:p>
    <w:p>
      <w:pPr>
        <w:pStyle w:val="BodyText"/>
      </w:pPr>
      <w:r>
        <w:t xml:space="preserve">При этом, учитывая, что в соответствии со ст.4 TP TC 021/2011</w:t>
      </w:r>
      <w:r>
        <w:t xml:space="preserve"> </w:t>
      </w:r>
      <w:r>
        <w:rPr>
          <w:bCs/>
          <w:b/>
        </w:rPr>
        <w:t xml:space="preserve">изготовитель пищевой продукции</w:t>
      </w:r>
      <w:r>
        <w:t xml:space="preserve"> </w:t>
      </w:r>
      <w:r>
        <w:t xml:space="preserve">- организация независимо от ее организационно-правовой формы или индивидуальный предприниматель, в том числе иностранные,</w:t>
      </w:r>
      <w:r>
        <w:t xml:space="preserve"> </w:t>
      </w:r>
      <w:r>
        <w:rPr>
          <w:bCs/>
          <w:b/>
        </w:rPr>
        <w:t xml:space="preserve">осуществляющие от своего имени производство (изготовление) пищевой продукции, в</w:t>
      </w:r>
      <w:r>
        <w:t xml:space="preserve"> </w:t>
      </w:r>
      <w:r>
        <w:t xml:space="preserve">маркировке пищевой продукции, расфасованной на предприятии торговли не может быть указано само предприятие торговли, осуществляющее фасовку пищевой продукции, в качестве изготовителя такой продукции.</w:t>
      </w:r>
    </w:p>
    <w:p>
      <w:pPr>
        <w:pStyle w:val="BodyText"/>
      </w:pPr>
      <w:r>
        <w:t xml:space="preserve">Указанная в маркировке дата изготовления пищевой продукции, расфасованной на предприятии торговли должна четко</w:t>
      </w:r>
      <w:r>
        <w:t xml:space="preserve"> </w:t>
      </w:r>
      <w:r>
        <w:rPr>
          <w:bCs/>
          <w:b/>
        </w:rPr>
        <w:t xml:space="preserve">соответствовать дате изготовления пищевой продукции, установленной изготовителем.</w:t>
      </w:r>
      <w:r>
        <w:t xml:space="preserve"> </w:t>
      </w:r>
      <w:r>
        <w:t xml:space="preserve">Дата фасовки пищевой продукции в потребительскую упаковку непосредственно на предприятии торговли не может быть указана в маркировке пищевой продукции как дата ее изготовления.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п.6 ст.7 TP TC 021/2011 сроки годности и условия хранения пищевой продукции устанавливаются изготовителем, при этом согласно п.п.б п.1 я.4.1 ст.4 TP TC 022/2011 для пищевой продукции, качество и безопасность которой изменяется после вскрытия упаковки, защищавшей продукцию от порчи, указывают также условия хранения после вскрытия упаковки.</w:t>
      </w:r>
    </w:p>
    <w:p>
      <w:pPr>
        <w:pStyle w:val="BodyText"/>
      </w:pPr>
      <w:r>
        <w:t xml:space="preserve">Принимая во внимание, что в процессе фасовки пищевой продукции на предприятиях торговли осуществляется вскрытие упаковки изготовителя, при указании срока годности и условий хранения пищевой продукции, расфасованной на предприятиях торговли</w:t>
      </w:r>
      <w:r>
        <w:t xml:space="preserve"> </w:t>
      </w:r>
      <w:r>
        <w:rPr>
          <w:bCs/>
          <w:b/>
        </w:rPr>
        <w:t xml:space="preserve">необходимо руководствоваться сроками годности после вскрытия упаковки, установленными только изготовителями пищевой продукции.</w:t>
      </w:r>
    </w:p>
    <w:p>
      <w:pPr>
        <w:pStyle w:val="BodyText"/>
      </w:pPr>
      <w:r>
        <w:t xml:space="preserve">Ответственность за нарушения требований технических регламентов Таможенного Союза, выявленные в рамках проведения контрольных (надзорных) мероприятий, предусмотрена я.2</w:t>
      </w:r>
      <w:r>
        <w:t xml:space="preserve"> </w:t>
      </w:r>
      <w:r>
        <w:rPr>
          <w:bCs/>
          <w:b/>
        </w:rPr>
        <w:t xml:space="preserve">ет.14.43 KoAП</w:t>
      </w:r>
      <w:r>
        <w:t xml:space="preserve"> </w:t>
      </w:r>
      <w:r>
        <w:t xml:space="preserve">РФ (с назначением штрафа в размере:</w:t>
      </w:r>
      <w:r>
        <w:t xml:space="preserve"> </w:t>
      </w:r>
      <w:r>
        <w:rPr>
          <w:bCs/>
          <w:b/>
        </w:rPr>
        <w:t xml:space="preserve">300-600 тыс. руб.</w:t>
      </w:r>
      <w:r>
        <w:t xml:space="preserve"> </w:t>
      </w:r>
      <w:r>
        <w:t xml:space="preserve">на юридических лнц,</w:t>
      </w:r>
      <w:r>
        <w:t xml:space="preserve"> </w:t>
      </w:r>
      <w:r>
        <w:rPr>
          <w:bCs/>
          <w:b/>
        </w:rPr>
        <w:t xml:space="preserve">20-30 тыс. руб. на</w:t>
      </w:r>
      <w:r>
        <w:t xml:space="preserve"> </w:t>
      </w:r>
      <w:r>
        <w:t xml:space="preserve">должностных лиц,</w:t>
      </w:r>
      <w:r>
        <w:t xml:space="preserve"> </w:t>
      </w:r>
      <w:r>
        <w:rPr>
          <w:bCs/>
          <w:b/>
        </w:rPr>
        <w:t xml:space="preserve">30-40 тыс. руб.</w:t>
      </w:r>
      <w:r>
        <w:t xml:space="preserve"> </w:t>
      </w:r>
      <w:r>
        <w:t xml:space="preserve">на лиц, осуществляющих предпринимательскую деятельность без образования юридического лица).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http://veshnyaki.mos.ru/official/detail/10578461.html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official/detail/10578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official/detail/10578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2023-10-11T12:09:14Z</dcterms:created>
  <dcterms:modified xsi:type="dcterms:W3CDTF">2023-10-11T12:09:14Z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