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7eb535f2fa2c8f00c64fc32ba0f3cc4aa3b9bf"/>
    <w:p>
      <w:pPr>
        <w:pStyle w:val="Heading3"/>
      </w:pPr>
      <w:r>
        <w:t xml:space="preserve">Почему общественные обсуждения - это удобно?</w:t>
      </w:r>
    </w:p>
    <w:p>
      <w:pPr>
        <w:pStyle w:val="FirstParagraph"/>
      </w:pPr>
      <w:r>
        <w:t xml:space="preserve">19.10.2020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eshnyaki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http://veshnyaki.mos.ru/presscenter/news/detail/9336839.html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Вешняки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veshnyaki.mos.ru" TargetMode="External" /><Relationship Type="http://schemas.openxmlformats.org/officeDocument/2006/relationships/hyperlink" Id="rId23" Target="http://veshnyaki.mos.ru/presscenter/news/detail/93368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eshnyaki.mos.ru" TargetMode="External" /><Relationship Type="http://schemas.openxmlformats.org/officeDocument/2006/relationships/hyperlink" Id="rId23" Target="http://veshnyaki.mos.ru/presscenter/news/detail/93368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2025-08-06T01:58:06Z</dcterms:created>
  <dcterms:modified xsi:type="dcterms:W3CDTF">2025-08-06T01:58:06Z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