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епд-защитит-от-мошенников"/>
    <w:p>
      <w:pPr>
        <w:pStyle w:val="Heading3"/>
      </w:pPr>
      <w:r>
        <w:t xml:space="preserve">ЕПД защитит от мошенников</w:t>
      </w:r>
    </w:p>
    <w:p>
      <w:pPr>
        <w:pStyle w:val="FirstParagraph"/>
      </w:pPr>
      <w:r>
        <w:t xml:space="preserve">19.08.2020</w:t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veshnyaki.mos.ru/www/0,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http://veshnyaki.mos.ru/utilities/news-lcd/detail/9146572.html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Вешняки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veshnyaki.mos.ru" TargetMode="External" /><Relationship Type="http://schemas.openxmlformats.org/officeDocument/2006/relationships/hyperlink" Id="rId23" Target="http://veshnyaki.mos.ru/utilities/news-lcd/detail/91465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veshnyaki.mos.ru" TargetMode="External" /><Relationship Type="http://schemas.openxmlformats.org/officeDocument/2006/relationships/hyperlink" Id="rId23" Target="http://veshnyaki.mos.ru/utilities/news-lcd/detail/91465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2024-08-16T15:20:22Z</dcterms:created>
  <dcterms:modified xsi:type="dcterms:W3CDTF">2024-08-16T15:20:22Z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